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Initial Walk-Through: Your First Trade</w:t>
      </w:r>
    </w:p>
    <w:p>
      <w:r>
        <w:t>A short, screenshot-led walk-through of the core SOAP2 loop end to end — pick a symbol, open an Options Analysis (OA) window, load a chain, build a model, and commit it to a Position — using an SPX Put Broken Wing Butterfly as the running example. It complements the Getting Started section of the SOAP2 User Manual (docs\user_manual.md.html), with more screenshots and a bit more narrative.</w:t>
      </w:r>
    </w:p>
    <w:p>
      <w:pPr>
        <w:pBdr>
          <w:bottom w:val="single" w:sz="6" w:space="1" w:color="999999"/>
        </w:pBdr>
      </w:pPr>
    </w:p>
    <w:p>
      <w:pPr>
        <w:pStyle w:val="Heading1"/>
      </w:pPr>
      <w:r>
        <w:t>1. Starting with a symbol</w:t>
      </w:r>
    </w:p>
    <w:p>
      <w:r>
        <w:t xml:space="preserve">SOAP2 generally starts with the default symbol from the watchlist — here, </w:t>
      </w:r>
      <w:r>
        <w:rPr>
          <w:b/>
          <w:i w:val="0"/>
        </w:rPr>
        <w:t>SPX</w:t>
      </w:r>
      <w:r>
        <w:t xml:space="preserve"> — preconfigured in Preferred Settings. On a fresh install, before any Preferred Settings exist, the default symbol is </w:t>
      </w:r>
      <w:r>
        <w:rPr>
          <w:b/>
          <w:i w:val="0"/>
        </w:rPr>
        <w:t>SPY</w:t>
      </w:r>
      <w:r>
        <w:t>.</w:t>
      </w:r>
    </w:p>
    <w:p>
      <w:r>
        <w:t>This walk-through skips the General Settings screen (</w:t>
      </w:r>
      <w:r>
        <w:rPr>
          <w:b/>
          <w:i w:val="0"/>
        </w:rPr>
        <w:t>Alt-G</w:t>
      </w:r>
      <w:r>
        <w:t>): the defaults are enough to get started, and General Settings is covered separately in the User Manual's Settings section.</w:t>
      </w:r>
    </w:p>
    <w:p>
      <w:r>
        <w:t>To switch to another symbol, use the symbol dropdown on the top toolstrip: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9596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optoolstrip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Bdr>
          <w:bottom w:val="single" w:sz="6" w:space="1" w:color="999999"/>
        </w:pBdr>
      </w:pPr>
    </w:p>
    <w:p>
      <w:pPr>
        <w:pStyle w:val="Heading1"/>
      </w:pPr>
      <w:r>
        <w:t>2. Watchlist and Preferred Settings</w:t>
      </w:r>
    </w:p>
    <w:p>
      <w:r>
        <w:t>Before loading a chain, it's worth checking two things for the symbol you're about to trade:</w:t>
      </w:r>
    </w:p>
    <w:p>
      <w:pPr>
        <w:pStyle w:val="ListBullet"/>
      </w:pPr>
      <w:r>
        <w:rPr>
          <w:b/>
          <w:i w:val="0"/>
        </w:rPr>
        <w:t>Watchlist Setup</w:t>
      </w:r>
      <w:r>
        <w:t xml:space="preserve"> (</w:t>
      </w:r>
      <w:r>
        <w:rPr>
          <w:b/>
          <w:i w:val="0"/>
        </w:rPr>
        <w:t>Alt-S</w:t>
      </w:r>
      <w:r>
        <w:t>, or the Symbol entry on the Wheel dropdown menu), which also gives access to Preferred Settings, and</w:t>
      </w:r>
    </w:p>
    <w:p>
      <w:pPr>
        <w:pStyle w:val="ListBullet"/>
      </w:pPr>
      <w:r>
        <w:rPr>
          <w:b/>
          <w:i w:val="0"/>
        </w:rPr>
        <w:t>Live Watchlist</w:t>
      </w:r>
      <w:r>
        <w:t xml:space="preserve"> (</w:t>
      </w:r>
      <w:r>
        <w:rPr>
          <w:b/>
          <w:i w:val="0"/>
        </w:rPr>
        <w:t>Alt-L</w:t>
      </w:r>
      <w:r>
        <w:t>), to confirm the underlying's quotes are updating correctly.</w:t>
      </w:r>
    </w:p>
    <w:p>
      <w:r>
        <w:t>Example Watchlist Setup grid: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209169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atchlist setup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16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 xml:space="preserve">Alternatively, once an OA is open, its </w:t>
      </w:r>
      <w:r>
        <w:rPr>
          <w:b/>
          <w:i w:val="0"/>
        </w:rPr>
        <w:t>Wheel</w:t>
      </w:r>
      <w:r>
        <w:t xml:space="preserve"> button (top-left, blue background) opens Preferred Settings for that OA's current symbol directly — useful for a quick check without leaving the OA. Example, Preferred Settings for SPX: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170095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efSetting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7009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 xml:space="preserve">The left panel is generally preconfigured correctly out of the box. The two things worth reviewing are </w:t>
      </w:r>
      <w:r>
        <w:rPr>
          <w:b/>
          <w:i w:val="0"/>
        </w:rPr>
        <w:t>Default Strike Intervals</w:t>
      </w:r>
      <w:r>
        <w:t xml:space="preserve"> and the </w:t>
      </w:r>
      <w:r>
        <w:rPr>
          <w:b/>
          <w:i w:val="0"/>
        </w:rPr>
        <w:t>Display Weeklies</w:t>
      </w:r>
      <w:r>
        <w:t xml:space="preserve"> day list. Note that weekly expiries can also be toggled at the OA level, independently of this setting, with </w:t>
      </w:r>
      <w:r>
        <w:rPr>
          <w:b/>
          <w:i w:val="0"/>
        </w:rPr>
        <w:t>Ctrl-W</w:t>
      </w:r>
      <w:r>
        <w:t>.</w:t>
      </w:r>
    </w:p>
    <w:p>
      <w:pPr>
        <w:pBdr>
          <w:bottom w:val="single" w:sz="6" w:space="1" w:color="999999"/>
        </w:pBdr>
      </w:pPr>
    </w:p>
    <w:p>
      <w:pPr>
        <w:pStyle w:val="Heading1"/>
      </w:pPr>
      <w:r>
        <w:t>3. Opening a new OA</w:t>
      </w:r>
    </w:p>
    <w:p>
      <w:r>
        <w:t>With the symbol selected, open a new Options Analysis window (</w:t>
      </w:r>
      <w:r>
        <w:rPr>
          <w:b/>
          <w:i w:val="0"/>
        </w:rPr>
        <w:t>Shift+Click</w:t>
      </w:r>
      <w:r>
        <w:t xml:space="preserve"> the </w:t>
      </w:r>
      <w:r>
        <w:rPr>
          <w:b/>
          <w:i w:val="0"/>
        </w:rPr>
        <w:t>Show Selected OA</w:t>
      </w:r>
      <w:r>
        <w:t xml:space="preserve"> button on the main toolstrip). You should now see a new, blank OA for the current symbol: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19468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AP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This is where you decide whether to include Weeklies or not (</w:t>
      </w:r>
      <w:r>
        <w:rPr>
          <w:b/>
          <w:i w:val="0"/>
        </w:rPr>
        <w:t>Ctrl-W</w:t>
      </w:r>
      <w:r>
        <w:t xml:space="preserve">, or the </w:t>
      </w:r>
      <w:r>
        <w:rPr>
          <w:b/>
          <w:i w:val="0"/>
        </w:rPr>
        <w:t>W</w:t>
      </w:r>
      <w:r>
        <w:t xml:space="preserve"> icon), then select an expiry from the calendar and press </w:t>
      </w:r>
      <w:r>
        <w:rPr>
          <w:b/>
          <w:i w:val="0"/>
        </w:rPr>
        <w:t>Confirm Expiry</w:t>
      </w:r>
      <w:r>
        <w:t xml:space="preserve"> (or </w:t>
      </w:r>
      <w:r>
        <w:rPr>
          <w:b/>
          <w:i w:val="0"/>
        </w:rPr>
        <w:t>Enter</w:t>
      </w:r>
      <w:r>
        <w:t>) to load that chain onto the grids. Defaults from Preferred Settings apply automatically, but can be overridden for this OA specifically — see the next section.</w:t>
      </w:r>
    </w:p>
    <w:p>
      <w:pPr>
        <w:pBdr>
          <w:bottom w:val="single" w:sz="6" w:space="1" w:color="999999"/>
        </w:pBdr>
      </w:pPr>
    </w:p>
    <w:p>
      <w:pPr>
        <w:pStyle w:val="Heading1"/>
      </w:pPr>
      <w:r>
        <w:t>4. Loading the chain and setting the strike interval</w:t>
      </w:r>
    </w:p>
    <w:p>
      <w:r>
        <w:t xml:space="preserve">To override a Preferred Settings default just for this OA, press </w:t>
      </w:r>
      <w:r>
        <w:rPr>
          <w:b/>
          <w:i w:val="0"/>
        </w:rPr>
        <w:t>Alt-Down</w:t>
      </w:r>
      <w:r>
        <w:t xml:space="preserve"> to reveal the top panel. In this example, the Minimum Strike Interval hadn't been selected yet: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106472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neldow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47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 xml:space="preserve">It can be set here directly, or more quickly toggled with </w:t>
      </w:r>
      <w:r>
        <w:rPr>
          <w:b/>
          <w:i w:val="0"/>
        </w:rPr>
        <w:t>Ctrl-Down</w:t>
      </w:r>
      <w:r>
        <w:t xml:space="preserve"> — in this instance, a 5-point strike interval for SPX. Once an expiry is confirmed, the OA looks like this (October monthly expiry in this example):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19468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A_OA_Oct2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Bdr>
          <w:bottom w:val="single" w:sz="6" w:space="1" w:color="999999"/>
        </w:pBdr>
      </w:pPr>
    </w:p>
    <w:p>
      <w:pPr>
        <w:pStyle w:val="Heading1"/>
      </w:pPr>
      <w:r>
        <w:t>5. Building the model</w:t>
      </w:r>
    </w:p>
    <w:p>
      <w:r>
        <w:t xml:space="preserve">With the chain loaded, enter a model combo directly on the grids — in this instance, a </w:t>
      </w:r>
      <w:r>
        <w:rPr>
          <w:b/>
          <w:i w:val="0"/>
        </w:rPr>
        <w:t>Put Broken Wing Butterfly</w:t>
      </w:r>
      <w:r>
        <w:t>. The Risk Graph updates immediately as legs are entered: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19468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WB Exampl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Bdr>
          <w:bottom w:val="single" w:sz="6" w:space="1" w:color="999999"/>
        </w:pBdr>
      </w:pPr>
    </w:p>
    <w:p>
      <w:pPr>
        <w:pStyle w:val="Heading1"/>
      </w:pPr>
      <w:r>
        <w:t>6. Committing to a Position</w:t>
      </w:r>
    </w:p>
    <w:p>
      <w:r>
        <w:t xml:space="preserve">The next step is committing the model to a real Position. This example uses a straight </w:t>
      </w:r>
      <w:r>
        <w:rPr>
          <w:b/>
          <w:i w:val="0"/>
        </w:rPr>
        <w:t>Convert</w:t>
      </w:r>
      <w:r>
        <w:t>, which bypasses sending the order through TWS for review — the limit price can be locked, or sent through at Mid: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029200" cy="298638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WB Commit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9863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The former Model is now an actual Position (Trade):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3600" cy="319468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WB Positio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Bdr>
          <w:bottom w:val="single" w:sz="6" w:space="1" w:color="999999"/>
        </w:pBdr>
      </w:pPr>
    </w:p>
    <w:p>
      <w:pPr>
        <w:pStyle w:val="Heading1"/>
      </w:pPr>
      <w:r>
        <w:t>7. A note on trading outside market hours</w:t>
      </w:r>
    </w:p>
    <w:p>
      <w:r>
        <w:t xml:space="preserve">This walk-through was done entirely </w:t>
      </w:r>
      <w:r>
        <w:rPr>
          <w:b/>
          <w:i w:val="0"/>
        </w:rPr>
        <w:t>outside market hours</w:t>
      </w:r>
      <w:r>
        <w:t>. SOAP2 uses Interactive Brokers' Market Maker / Dealer information to model trades accurately even when the underlying (SPX here) isn't quoting at all — a feature most other platforms don't offer.</w:t>
      </w:r>
    </w:p>
    <w:p>
      <w:r>
        <w:t>When no live or cached anchor price is available for a symbol, SOAP2 will prompt for a manual reference price instead of blocking you: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0400" cy="1304429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o anchor pric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044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Enter a reasonable reference price (e.g. the last known close) and continue — the OA will use it as the anchor until live data resumes.</w:t>
      </w:r>
    </w:p>
    <w:p>
      <w:pPr>
        <w:pBdr>
          <w:bottom w:val="single" w:sz="6" w:space="1" w:color="999999"/>
        </w:pBdr>
      </w:pPr>
    </w:p>
    <w:p>
      <w:r>
        <w:rPr>
          <w:i/>
          <w:color w:val="666666"/>
          <w:sz w:val="18"/>
        </w:rPr>
        <w:t>This document is also published as docs\initial_walkthrough.md.html, part of the SOAP2 Help Guide.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